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43" w:rsidRPr="00FB5CFD" w:rsidRDefault="00CC2643" w:rsidP="00FB5CFD">
      <w:pPr>
        <w:pStyle w:val="Header"/>
        <w:spacing w:before="0" w:line="276" w:lineRule="auto"/>
        <w:rPr>
          <w:rFonts w:ascii="Arial" w:hAnsi="Arial" w:cs="Arial"/>
          <w:sz w:val="14"/>
        </w:rPr>
      </w:pPr>
      <w:r w:rsidRPr="00FB5CFD">
        <w:rPr>
          <w:rFonts w:ascii="Arial" w:hAnsi="Arial"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27C5353" wp14:editId="06956621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6858000" cy="476250"/>
                <wp:effectExtent l="57150" t="19050" r="57150" b="762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76250"/>
                        </a:xfrm>
                        <a:prstGeom prst="rect">
                          <a:avLst/>
                        </a:prstGeom>
                        <a:solidFill>
                          <a:srgbClr val="27668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B1E" w:rsidRPr="00DA29FE" w:rsidRDefault="00905F00" w:rsidP="00156B1E">
                            <w:pPr>
                              <w:ind w:right="-3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Marketing Resources – 2017 WI EAB Renewal </w:t>
                            </w:r>
                          </w:p>
                          <w:p w:rsidR="00CC2643" w:rsidRPr="00592B14" w:rsidRDefault="00CC2643" w:rsidP="004A3C3D">
                            <w:pPr>
                              <w:rPr>
                                <w:rFonts w:ascii="Georgia" w:hAnsi="Georgia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C5353" id="Rectangle 18" o:spid="_x0000_s1026" style="position:absolute;margin-left:36pt;margin-top:108pt;width:540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" fillcolor="#276681" stroked="f">
                <v:shadow on="t" color="black" opacity="22937f" origin=",.5" offset="0,.63889mm"/>
                <v:textbox inset=",0">
                  <w:txbxContent>
                    <w:p w:rsidR="00156B1E" w:rsidRPr="00DA29FE" w:rsidRDefault="00905F00" w:rsidP="00156B1E">
                      <w:pPr>
                        <w:ind w:right="-30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Marketing Resources – 2017 WI EAB Renewal </w:t>
                      </w:r>
                    </w:p>
                    <w:p w:rsidR="00CC2643" w:rsidRPr="00592B14" w:rsidRDefault="00CC2643" w:rsidP="004A3C3D">
                      <w:pPr>
                        <w:rPr>
                          <w:rFonts w:ascii="Georgia" w:hAnsi="Georgia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FB5CFD">
        <w:rPr>
          <w:rFonts w:ascii="Arial" w:hAnsi="Arial" w:cs="Arial"/>
          <w:noProof/>
          <w:sz w:val="14"/>
        </w:rPr>
        <w:drawing>
          <wp:anchor distT="0" distB="0" distL="114300" distR="114300" simplePos="0" relativeHeight="251659264" behindDoc="0" locked="1" layoutInCell="1" allowOverlap="1" wp14:anchorId="2335D029" wp14:editId="627F7328">
            <wp:simplePos x="0" y="0"/>
            <wp:positionH relativeFrom="column">
              <wp:posOffset>4229100</wp:posOffset>
            </wp:positionH>
            <wp:positionV relativeFrom="page">
              <wp:posOffset>-361950</wp:posOffset>
            </wp:positionV>
            <wp:extent cx="2171700" cy="173228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SchoolLetterhead_header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" t="3277" r="2344"/>
                    <a:stretch/>
                  </pic:blipFill>
                  <pic:spPr bwMode="auto">
                    <a:xfrm>
                      <a:off x="0" y="0"/>
                      <a:ext cx="2171700" cy="173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7C4" w:rsidRPr="00B527C4" w:rsidRDefault="00B527C4" w:rsidP="00B527C4">
      <w:pPr>
        <w:autoSpaceDE w:val="0"/>
        <w:autoSpaceDN w:val="0"/>
        <w:adjustRightInd w:val="0"/>
        <w:spacing w:before="0" w:line="276" w:lineRule="auto"/>
        <w:rPr>
          <w:rFonts w:ascii="Arial" w:eastAsia="Calibri" w:hAnsi="Arial" w:cs="Arial"/>
          <w:bCs/>
          <w:kern w:val="0"/>
          <w:sz w:val="20"/>
          <w:szCs w:val="20"/>
        </w:rPr>
      </w:pPr>
    </w:p>
    <w:p w:rsidR="00B527C4" w:rsidRDefault="00B527C4" w:rsidP="00B527C4">
      <w:pPr>
        <w:autoSpaceDE w:val="0"/>
        <w:autoSpaceDN w:val="0"/>
        <w:adjustRightInd w:val="0"/>
        <w:spacing w:before="0" w:line="276" w:lineRule="auto"/>
        <w:rPr>
          <w:rFonts w:ascii="Arial" w:eastAsia="Calibri" w:hAnsi="Arial" w:cs="Arial"/>
          <w:bCs/>
          <w:kern w:val="0"/>
          <w:sz w:val="20"/>
          <w:szCs w:val="20"/>
        </w:rPr>
      </w:pPr>
    </w:p>
    <w:p w:rsidR="00B527C4" w:rsidRPr="00B527C4" w:rsidRDefault="00B527C4" w:rsidP="00B527C4">
      <w:pPr>
        <w:autoSpaceDE w:val="0"/>
        <w:autoSpaceDN w:val="0"/>
        <w:adjustRightInd w:val="0"/>
        <w:spacing w:before="0" w:line="276" w:lineRule="auto"/>
        <w:rPr>
          <w:rFonts w:ascii="Arial" w:eastAsia="Calibri" w:hAnsi="Arial" w:cs="Arial"/>
          <w:bCs/>
          <w:kern w:val="0"/>
          <w:sz w:val="20"/>
          <w:szCs w:val="20"/>
        </w:rPr>
      </w:pPr>
    </w:p>
    <w:p w:rsidR="00156B1E" w:rsidRDefault="00156B1E" w:rsidP="00156B1E">
      <w:pPr>
        <w:autoSpaceDE w:val="0"/>
        <w:autoSpaceDN w:val="0"/>
        <w:adjustRightInd w:val="0"/>
        <w:spacing w:before="0" w:line="276" w:lineRule="auto"/>
        <w:rPr>
          <w:rFonts w:ascii="Arial" w:eastAsia="Calibri" w:hAnsi="Arial" w:cs="Arial"/>
          <w:bCs/>
          <w:kern w:val="0"/>
          <w:sz w:val="20"/>
          <w:szCs w:val="20"/>
        </w:rPr>
      </w:pPr>
    </w:p>
    <w:p w:rsidR="00156B1E" w:rsidRPr="00156B1E" w:rsidRDefault="00156B1E" w:rsidP="00156B1E">
      <w:pPr>
        <w:autoSpaceDE w:val="0"/>
        <w:autoSpaceDN w:val="0"/>
        <w:adjustRightInd w:val="0"/>
        <w:spacing w:before="0" w:line="276" w:lineRule="auto"/>
        <w:rPr>
          <w:rFonts w:ascii="Arial" w:eastAsia="Calibri" w:hAnsi="Arial" w:cs="Arial"/>
          <w:bCs/>
          <w:kern w:val="0"/>
          <w:sz w:val="20"/>
          <w:szCs w:val="20"/>
        </w:rPr>
      </w:pPr>
    </w:p>
    <w:p w:rsidR="00156B1E" w:rsidRPr="00156B1E" w:rsidRDefault="00156B1E" w:rsidP="00FB5CFD">
      <w:pPr>
        <w:autoSpaceDE w:val="0"/>
        <w:autoSpaceDN w:val="0"/>
        <w:adjustRightInd w:val="0"/>
        <w:spacing w:before="0" w:line="276" w:lineRule="auto"/>
        <w:rPr>
          <w:rFonts w:ascii="Georgia" w:eastAsia="Calibri" w:hAnsi="Georgia" w:cs="Arial"/>
          <w:b/>
          <w:bCs/>
          <w:kern w:val="0"/>
          <w:sz w:val="20"/>
          <w:szCs w:val="20"/>
        </w:rPr>
      </w:pPr>
    </w:p>
    <w:p w:rsidR="00CC2643" w:rsidRDefault="00CC2643" w:rsidP="00FB5CFD">
      <w:pPr>
        <w:spacing w:before="0" w:line="276" w:lineRule="auto"/>
        <w:rPr>
          <w:rFonts w:ascii="Arial" w:hAnsi="Arial" w:cs="Arial"/>
          <w:sz w:val="20"/>
        </w:rPr>
      </w:pPr>
    </w:p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Website: </w:t>
      </w:r>
    </w:p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  <w:hyperlink r:id="rId6" w:history="1">
        <w:r w:rsidRPr="006F2081">
          <w:rPr>
            <w:rStyle w:val="Hyperlink"/>
            <w:rFonts w:ascii="Arial" w:hAnsi="Arial" w:cs="Arial"/>
            <w:sz w:val="20"/>
          </w:rPr>
          <w:t>http://www.hazeldenbettyford.org/education/graduate-school-addiction-studies</w:t>
        </w:r>
      </w:hyperlink>
    </w:p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</w:p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</w:p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Facebook: </w:t>
      </w:r>
    </w:p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  <w:hyperlink r:id="rId7" w:history="1">
        <w:r w:rsidRPr="006F2081">
          <w:rPr>
            <w:rStyle w:val="Hyperlink"/>
            <w:rFonts w:ascii="Arial" w:hAnsi="Arial" w:cs="Arial"/>
            <w:sz w:val="20"/>
          </w:rPr>
          <w:t>https://www.facebook.com/HazeldenBettyFordGraduateSchoolofAddictionStudies/</w:t>
        </w:r>
      </w:hyperlink>
    </w:p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</w:p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</w:p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</w:p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LinkedIn:</w:t>
      </w:r>
    </w:p>
    <w:bookmarkStart w:id="0" w:name="_GoBack"/>
    <w:bookmarkEnd w:id="0"/>
    <w:p w:rsidR="00905F00" w:rsidRDefault="00905F00" w:rsidP="00FB5CFD">
      <w:pPr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HYPERLINK "</w:instrText>
      </w:r>
      <w:r w:rsidRPr="00905F00">
        <w:rPr>
          <w:rFonts w:ascii="Arial" w:hAnsi="Arial" w:cs="Arial"/>
          <w:sz w:val="20"/>
        </w:rPr>
        <w:instrText>https://www.linkedin.com/school/4436590/</w:instrText>
      </w:r>
      <w:r>
        <w:rPr>
          <w:rFonts w:ascii="Arial" w:hAnsi="Arial" w:cs="Arial"/>
          <w:sz w:val="20"/>
        </w:rPr>
        <w:instrText xml:space="preserve">" </w:instrText>
      </w:r>
      <w:r>
        <w:rPr>
          <w:rFonts w:ascii="Arial" w:hAnsi="Arial" w:cs="Arial"/>
          <w:sz w:val="20"/>
        </w:rPr>
        <w:fldChar w:fldCharType="separate"/>
      </w:r>
      <w:r w:rsidRPr="006F2081">
        <w:rPr>
          <w:rStyle w:val="Hyperlink"/>
          <w:rFonts w:ascii="Arial" w:hAnsi="Arial" w:cs="Arial"/>
          <w:sz w:val="20"/>
        </w:rPr>
        <w:t>https://www.linkedin.com/school/4436590/</w:t>
      </w:r>
      <w:r>
        <w:rPr>
          <w:rFonts w:ascii="Arial" w:hAnsi="Arial" w:cs="Arial"/>
          <w:sz w:val="20"/>
        </w:rPr>
        <w:fldChar w:fldCharType="end"/>
      </w:r>
    </w:p>
    <w:p w:rsidR="00905F00" w:rsidRPr="00FB5CFD" w:rsidRDefault="00905F00" w:rsidP="00FB5CFD">
      <w:pPr>
        <w:spacing w:before="0" w:line="276" w:lineRule="auto"/>
        <w:rPr>
          <w:rFonts w:ascii="Arial" w:hAnsi="Arial" w:cs="Arial"/>
          <w:sz w:val="20"/>
        </w:rPr>
      </w:pPr>
    </w:p>
    <w:sectPr w:rsidR="00905F00" w:rsidRPr="00FB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726"/>
    <w:multiLevelType w:val="hybridMultilevel"/>
    <w:tmpl w:val="3F6696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484"/>
    <w:multiLevelType w:val="hybridMultilevel"/>
    <w:tmpl w:val="E8324A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4E44"/>
    <w:multiLevelType w:val="hybridMultilevel"/>
    <w:tmpl w:val="11961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20A"/>
    <w:multiLevelType w:val="hybridMultilevel"/>
    <w:tmpl w:val="8DE6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2EED"/>
    <w:multiLevelType w:val="hybridMultilevel"/>
    <w:tmpl w:val="AE547E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B65CF"/>
    <w:multiLevelType w:val="hybridMultilevel"/>
    <w:tmpl w:val="D0A8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67478"/>
    <w:multiLevelType w:val="hybridMultilevel"/>
    <w:tmpl w:val="1AF811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0153"/>
    <w:multiLevelType w:val="hybridMultilevel"/>
    <w:tmpl w:val="01D24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70602"/>
    <w:multiLevelType w:val="hybridMultilevel"/>
    <w:tmpl w:val="7CEE1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0F63"/>
    <w:multiLevelType w:val="hybridMultilevel"/>
    <w:tmpl w:val="62D4B8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57477"/>
    <w:multiLevelType w:val="hybridMultilevel"/>
    <w:tmpl w:val="851C0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E5AFB"/>
    <w:multiLevelType w:val="hybridMultilevel"/>
    <w:tmpl w:val="4FCE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A38CC"/>
    <w:multiLevelType w:val="hybridMultilevel"/>
    <w:tmpl w:val="D8A4A2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22942"/>
    <w:multiLevelType w:val="hybridMultilevel"/>
    <w:tmpl w:val="44E468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5518E"/>
    <w:multiLevelType w:val="hybridMultilevel"/>
    <w:tmpl w:val="8BC6D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F33A4"/>
    <w:multiLevelType w:val="hybridMultilevel"/>
    <w:tmpl w:val="6FE4E3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7620"/>
    <w:multiLevelType w:val="hybridMultilevel"/>
    <w:tmpl w:val="4232FF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902D6"/>
    <w:multiLevelType w:val="hybridMultilevel"/>
    <w:tmpl w:val="1D78CA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35327"/>
    <w:multiLevelType w:val="hybridMultilevel"/>
    <w:tmpl w:val="077EC3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9126E"/>
    <w:multiLevelType w:val="hybridMultilevel"/>
    <w:tmpl w:val="4502C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568AF"/>
    <w:multiLevelType w:val="hybridMultilevel"/>
    <w:tmpl w:val="96B881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43"/>
    <w:rsid w:val="0005521E"/>
    <w:rsid w:val="0014689D"/>
    <w:rsid w:val="00156B1E"/>
    <w:rsid w:val="004A3C3D"/>
    <w:rsid w:val="00592B14"/>
    <w:rsid w:val="0084262C"/>
    <w:rsid w:val="0087385B"/>
    <w:rsid w:val="00905F00"/>
    <w:rsid w:val="00A45BA8"/>
    <w:rsid w:val="00B527C4"/>
    <w:rsid w:val="00CC2643"/>
    <w:rsid w:val="00E65EAE"/>
    <w:rsid w:val="00F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EC9E"/>
  <w15:docId w15:val="{CABF2A50-D06B-4806-8638-F29A8E44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643"/>
    <w:pPr>
      <w:spacing w:before="180" w:after="0" w:line="288" w:lineRule="auto"/>
    </w:pPr>
    <w:rPr>
      <w:rFonts w:eastAsiaTheme="minorEastAsia"/>
      <w:kern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643"/>
    <w:pPr>
      <w:ind w:right="2880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C2643"/>
    <w:rPr>
      <w:rFonts w:eastAsiaTheme="minorEastAsia"/>
      <w:kern w:val="12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zeldenBettyFordGraduateSchoolofAddictionStud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zeldenbettyford.org/education/graduate-school-addiction-studi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Hazelden Foundation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Slaymaker, Val</dc:creator>
  <cp:lastModifiedBy>Anderson, Kristin</cp:lastModifiedBy>
  <cp:revision>3</cp:revision>
  <dcterms:created xsi:type="dcterms:W3CDTF">2017-09-27T20:04:00Z</dcterms:created>
  <dcterms:modified xsi:type="dcterms:W3CDTF">2017-09-27T20:06:00Z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-1715914834</vt:i4>
  </property>
  <property fmtid="{D5CDD505-2E9C-101B-9397-08002B2CF9AE}" pid="3" name="_NewReviewCycle">
    <vt:lpwstr/>
  </property>
  <property fmtid="{D5CDD505-2E9C-101B-9397-08002B2CF9AE}" pid="4" name="_EmailSubject">
    <vt:lpwstr>New branded templates for the graduate school</vt:lpwstr>
  </property>
  <property fmtid="{D5CDD505-2E9C-101B-9397-08002B2CF9AE}" pid="5" name="_AuthorEmail">
    <vt:lpwstr>VSlaymaker@hazelden.edu</vt:lpwstr>
  </property>
  <property fmtid="{D5CDD505-2E9C-101B-9397-08002B2CF9AE}" pid="6" name="_AuthorEmailDisplayName">
    <vt:lpwstr>Slaymaker, Val</vt:lpwstr>
  </property>
  <property fmtid="{D5CDD505-2E9C-101B-9397-08002B2CF9AE}" pid="7" name="_ReviewingToolsShownOnce">
    <vt:lpwstr/>
  </property>
</Properties>
</file>